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Default="00F253F5" w:rsidP="00AD135E">
      <w:pPr>
        <w:spacing w:line="360" w:lineRule="auto"/>
        <w:jc w:val="both"/>
        <w:rPr>
          <w:b/>
          <w:color w:val="000000"/>
          <w:sz w:val="21"/>
          <w:szCs w:val="21"/>
        </w:rPr>
      </w:pPr>
      <w:bookmarkStart w:id="0" w:name="_GoBack"/>
      <w:bookmarkEnd w:id="0"/>
    </w:p>
    <w:p w:rsidR="00AD135E" w:rsidRPr="003D0916" w:rsidRDefault="003D0916" w:rsidP="00AD135E">
      <w:pPr>
        <w:spacing w:line="360" w:lineRule="auto"/>
        <w:jc w:val="both"/>
        <w:rPr>
          <w:b/>
          <w:color w:val="000000"/>
          <w:sz w:val="21"/>
          <w:szCs w:val="21"/>
        </w:rPr>
      </w:pPr>
      <w:r>
        <w:rPr>
          <w:b/>
          <w:color w:val="000000"/>
          <w:sz w:val="21"/>
          <w:szCs w:val="21"/>
        </w:rPr>
        <w:t xml:space="preserve">Tıp Doktorluğu Alanı İle İlgili Alt Uzmanlık Alanlarının Belirlenmesine İlişkin Normlar Ve Ölçütler: </w:t>
      </w:r>
    </w:p>
    <w:p w:rsidR="00F253F5" w:rsidRDefault="00F253F5" w:rsidP="00F253F5">
      <w:pPr>
        <w:spacing w:line="360" w:lineRule="auto"/>
        <w:jc w:val="both"/>
        <w:rPr>
          <w:sz w:val="21"/>
          <w:szCs w:val="21"/>
        </w:rPr>
      </w:pPr>
      <w:r>
        <w:rPr>
          <w:sz w:val="21"/>
          <w:szCs w:val="21"/>
        </w:rPr>
        <w:t xml:space="preserve">Tıp Doktorlarının uzmanlık alanları ile ilgili konularda bilirkişi olarak görevlendirilmelerinde uzmanlık ve alt uzmanlık alanlarının belirlenmesinde aşağıdaki hukuki düzenlemeler ve ölçütler önem taşımaktadır. </w:t>
      </w:r>
    </w:p>
    <w:p w:rsidR="00F253F5" w:rsidRDefault="00F253F5" w:rsidP="00F253F5">
      <w:pPr>
        <w:pStyle w:val="ListeParagraf"/>
        <w:numPr>
          <w:ilvl w:val="0"/>
          <w:numId w:val="2"/>
        </w:numPr>
        <w:spacing w:line="360" w:lineRule="auto"/>
        <w:jc w:val="both"/>
        <w:rPr>
          <w:sz w:val="21"/>
          <w:szCs w:val="21"/>
        </w:rPr>
      </w:pPr>
      <w:r w:rsidRPr="00F253F5">
        <w:rPr>
          <w:sz w:val="21"/>
          <w:szCs w:val="21"/>
        </w:rPr>
        <w:t xml:space="preserve">Tıp Doktorlarının görev ve yetkileri ile uzmanlık ve </w:t>
      </w:r>
      <w:proofErr w:type="spellStart"/>
      <w:r w:rsidRPr="00F253F5">
        <w:rPr>
          <w:sz w:val="21"/>
          <w:szCs w:val="21"/>
        </w:rPr>
        <w:t>yandal</w:t>
      </w:r>
      <w:proofErr w:type="spellEnd"/>
      <w:r w:rsidRPr="00F253F5">
        <w:rPr>
          <w:sz w:val="21"/>
          <w:szCs w:val="21"/>
        </w:rPr>
        <w:t xml:space="preserve"> uzmanlık alanları 1219 Sayılı </w:t>
      </w:r>
      <w:proofErr w:type="gramStart"/>
      <w:r w:rsidRPr="00F253F5">
        <w:rPr>
          <w:sz w:val="21"/>
          <w:szCs w:val="21"/>
        </w:rPr>
        <w:t xml:space="preserve">Tababet  </w:t>
      </w:r>
      <w:proofErr w:type="spellStart"/>
      <w:r w:rsidRPr="00F253F5">
        <w:rPr>
          <w:sz w:val="21"/>
          <w:szCs w:val="21"/>
        </w:rPr>
        <w:t>Şuabatı</w:t>
      </w:r>
      <w:proofErr w:type="spellEnd"/>
      <w:proofErr w:type="gramEnd"/>
      <w:r w:rsidRPr="00F253F5">
        <w:rPr>
          <w:sz w:val="21"/>
          <w:szCs w:val="21"/>
        </w:rPr>
        <w:t xml:space="preserve"> Sanatlarının Tarzı İcrasına Dair </w:t>
      </w:r>
      <w:r>
        <w:rPr>
          <w:sz w:val="21"/>
          <w:szCs w:val="21"/>
        </w:rPr>
        <w:t>Kanun’da</w:t>
      </w:r>
      <w:r w:rsidRPr="00F253F5">
        <w:rPr>
          <w:sz w:val="21"/>
          <w:szCs w:val="21"/>
        </w:rPr>
        <w:t xml:space="preserve"> düzenlenmiştir.</w:t>
      </w:r>
    </w:p>
    <w:p w:rsidR="0014284C" w:rsidRDefault="00F253F5" w:rsidP="00F253F5">
      <w:pPr>
        <w:pStyle w:val="ListeParagraf"/>
        <w:numPr>
          <w:ilvl w:val="0"/>
          <w:numId w:val="2"/>
        </w:numPr>
        <w:spacing w:line="360" w:lineRule="auto"/>
        <w:jc w:val="both"/>
        <w:rPr>
          <w:sz w:val="21"/>
          <w:szCs w:val="21"/>
        </w:rPr>
      </w:pPr>
      <w:r>
        <w:rPr>
          <w:sz w:val="21"/>
          <w:szCs w:val="21"/>
        </w:rPr>
        <w:t xml:space="preserve">1219 Sayılı Kanunun </w:t>
      </w:r>
      <w:r w:rsidR="0014284C">
        <w:rPr>
          <w:sz w:val="21"/>
          <w:szCs w:val="21"/>
        </w:rPr>
        <w:t xml:space="preserve">8. Maddesi uyarınca tıp fakültesi mezunu ve Türkiye’de hekimlik yapmaya yetkili olan hekimlerin genel olarak hastalıkları tedavi yetkisi </w:t>
      </w:r>
      <w:proofErr w:type="gramStart"/>
      <w:r w:rsidR="0014284C">
        <w:rPr>
          <w:sz w:val="21"/>
          <w:szCs w:val="21"/>
        </w:rPr>
        <w:t>bulunmakla  birlikte</w:t>
      </w:r>
      <w:proofErr w:type="gramEnd"/>
      <w:r w:rsidR="0014284C">
        <w:rPr>
          <w:sz w:val="21"/>
          <w:szCs w:val="21"/>
        </w:rPr>
        <w:t xml:space="preserve"> uzmanlık gerektiren işler</w:t>
      </w:r>
      <w:r w:rsidR="00DD07C4">
        <w:rPr>
          <w:sz w:val="21"/>
          <w:szCs w:val="21"/>
        </w:rPr>
        <w:t xml:space="preserve">, </w:t>
      </w:r>
      <w:r w:rsidR="0014284C">
        <w:rPr>
          <w:sz w:val="21"/>
          <w:szCs w:val="21"/>
        </w:rPr>
        <w:t xml:space="preserve"> yalnızca uzmanlık belgesine sahip olan hekimler tarafından yapılabilir. </w:t>
      </w:r>
    </w:p>
    <w:p w:rsidR="0014284C" w:rsidRPr="00DD07C4" w:rsidRDefault="0014284C" w:rsidP="00DD07C4">
      <w:pPr>
        <w:pStyle w:val="ListeParagraf"/>
        <w:numPr>
          <w:ilvl w:val="0"/>
          <w:numId w:val="2"/>
        </w:numPr>
        <w:spacing w:line="360" w:lineRule="auto"/>
        <w:jc w:val="both"/>
        <w:rPr>
          <w:sz w:val="21"/>
          <w:szCs w:val="21"/>
        </w:rPr>
      </w:pPr>
      <w:r>
        <w:rPr>
          <w:sz w:val="21"/>
          <w:szCs w:val="21"/>
        </w:rPr>
        <w:t xml:space="preserve">1219 Sayılı Kanunun Ek 14. </w:t>
      </w:r>
      <w:r w:rsidR="00DD07C4">
        <w:rPr>
          <w:sz w:val="21"/>
          <w:szCs w:val="21"/>
        </w:rPr>
        <w:t>m</w:t>
      </w:r>
      <w:r>
        <w:rPr>
          <w:sz w:val="21"/>
          <w:szCs w:val="21"/>
        </w:rPr>
        <w:t xml:space="preserve">addesi uyarınca </w:t>
      </w:r>
      <w:r>
        <w:t xml:space="preserve">tıpta uzmanlık ana dalları EK–1 sayılı çizelgede belirtilmiş olup 43 farklı uzmanlık dalı bulunmaktadır. Tıpta uzmanlık yan dalları, bağlı ana dalları da EK–3 sayılı çizelgede belirtilmiş olup 45 farklı yan dal uzmanlık alanı bulunmaktadır. Bazı yan dal uzmanlık alanları ise birden fazla ana dala bağlı ortak yan dal uzmanlık alanlarıdır. </w:t>
      </w:r>
    </w:p>
    <w:p w:rsidR="00F253F5" w:rsidRDefault="0014284C" w:rsidP="0014284C">
      <w:pPr>
        <w:pStyle w:val="ListeParagraf"/>
        <w:numPr>
          <w:ilvl w:val="0"/>
          <w:numId w:val="2"/>
        </w:numPr>
        <w:spacing w:line="360" w:lineRule="auto"/>
        <w:jc w:val="both"/>
        <w:rPr>
          <w:sz w:val="21"/>
          <w:szCs w:val="21"/>
        </w:rPr>
      </w:pPr>
      <w:r>
        <w:rPr>
          <w:sz w:val="21"/>
          <w:szCs w:val="21"/>
        </w:rPr>
        <w:t xml:space="preserve">1219 Sayılı </w:t>
      </w:r>
      <w:r w:rsidRPr="0014284C">
        <w:rPr>
          <w:sz w:val="21"/>
          <w:szCs w:val="21"/>
        </w:rPr>
        <w:t xml:space="preserve">Kanunun 11. </w:t>
      </w:r>
      <w:r w:rsidR="00DD07C4">
        <w:rPr>
          <w:sz w:val="21"/>
          <w:szCs w:val="21"/>
        </w:rPr>
        <w:t>m</w:t>
      </w:r>
      <w:r w:rsidRPr="0014284C">
        <w:rPr>
          <w:sz w:val="21"/>
          <w:szCs w:val="21"/>
        </w:rPr>
        <w:t>addesi</w:t>
      </w:r>
      <w:r>
        <w:rPr>
          <w:sz w:val="21"/>
          <w:szCs w:val="21"/>
        </w:rPr>
        <w:t>nde</w:t>
      </w:r>
      <w:r w:rsidR="00DD07C4">
        <w:rPr>
          <w:sz w:val="21"/>
          <w:szCs w:val="21"/>
        </w:rPr>
        <w:t>,</w:t>
      </w:r>
      <w:r w:rsidRPr="0014284C">
        <w:rPr>
          <w:sz w:val="21"/>
          <w:szCs w:val="21"/>
        </w:rPr>
        <w:t xml:space="preserve"> </w:t>
      </w:r>
      <w:r w:rsidR="00DD07C4">
        <w:rPr>
          <w:sz w:val="21"/>
          <w:szCs w:val="21"/>
        </w:rPr>
        <w:t>m</w:t>
      </w:r>
      <w:r>
        <w:rPr>
          <w:sz w:val="21"/>
          <w:szCs w:val="21"/>
        </w:rPr>
        <w:t>ahkemelerin tıp alanındaki uzmanlık bilgisi gerektiren uyuşmazlıklarla ilgili bilirkişi olarak, 1219 sayılı Kanun kapsamında hekimlik mesleğini icra etmeye yetkili olan hekimlere müracaat edecekleri düzenlenmiştir.</w:t>
      </w:r>
    </w:p>
    <w:p w:rsidR="00AD135E" w:rsidRPr="00DD07C4" w:rsidRDefault="0014284C" w:rsidP="00AD135E">
      <w:pPr>
        <w:pStyle w:val="ListeParagraf"/>
        <w:numPr>
          <w:ilvl w:val="0"/>
          <w:numId w:val="2"/>
        </w:numPr>
        <w:spacing w:line="360" w:lineRule="auto"/>
        <w:jc w:val="both"/>
        <w:rPr>
          <w:sz w:val="21"/>
          <w:szCs w:val="21"/>
        </w:rPr>
      </w:pPr>
      <w:r w:rsidRPr="001F0768">
        <w:rPr>
          <w:sz w:val="21"/>
          <w:szCs w:val="21"/>
        </w:rPr>
        <w:t xml:space="preserve">Hekimler yönünden uzmanlık ve alt uzmanlık alanlarının 1219 sayılı Kanunda yukarıda belirtilen </w:t>
      </w:r>
      <w:r w:rsidR="00DD07C4">
        <w:rPr>
          <w:sz w:val="21"/>
          <w:szCs w:val="21"/>
        </w:rPr>
        <w:t xml:space="preserve">kurallara </w:t>
      </w:r>
      <w:r w:rsidRPr="001F0768">
        <w:rPr>
          <w:sz w:val="21"/>
          <w:szCs w:val="21"/>
        </w:rPr>
        <w:t xml:space="preserve">uygun olarak düzenlenmesi bir zorunluluktur. Bununla birlikte </w:t>
      </w:r>
      <w:r w:rsidR="001F0768" w:rsidRPr="001F0768">
        <w:rPr>
          <w:sz w:val="21"/>
          <w:szCs w:val="21"/>
        </w:rPr>
        <w:t>tıp alanında dinamik, sürekli gelişen ve genişleyen bir bilgi birikimine ve deneyimine gereksinim duyulmaktadır.  Yanı sıra a</w:t>
      </w:r>
      <w:r w:rsidR="00DD07C4">
        <w:rPr>
          <w:sz w:val="21"/>
          <w:szCs w:val="21"/>
        </w:rPr>
        <w:t xml:space="preserve">ynı ana dal uzmanlığı ya da yan </w:t>
      </w:r>
      <w:r w:rsidR="001F0768" w:rsidRPr="001F0768">
        <w:rPr>
          <w:sz w:val="21"/>
          <w:szCs w:val="21"/>
        </w:rPr>
        <w:t>dal uzmanlığı alan</w:t>
      </w:r>
      <w:r w:rsidR="00DD07C4">
        <w:rPr>
          <w:sz w:val="21"/>
          <w:szCs w:val="21"/>
        </w:rPr>
        <w:t>ında olmakla birlikte; o dalın</w:t>
      </w:r>
      <w:r w:rsidR="001F0768" w:rsidRPr="001F0768">
        <w:rPr>
          <w:sz w:val="21"/>
          <w:szCs w:val="21"/>
        </w:rPr>
        <w:t xml:space="preserve"> belirli bölümlerinde </w:t>
      </w:r>
      <w:r w:rsidR="00DD07C4">
        <w:rPr>
          <w:sz w:val="21"/>
          <w:szCs w:val="21"/>
        </w:rPr>
        <w:t xml:space="preserve">daha da </w:t>
      </w:r>
      <w:r w:rsidR="001F0768" w:rsidRPr="001F0768">
        <w:rPr>
          <w:sz w:val="21"/>
          <w:szCs w:val="21"/>
        </w:rPr>
        <w:t xml:space="preserve">derinleşen mesleki uygulama ve çalışmalar yürüten hekimler de bulunmaktadır. </w:t>
      </w:r>
      <w:r w:rsidR="001F0768">
        <w:rPr>
          <w:sz w:val="21"/>
          <w:szCs w:val="21"/>
        </w:rPr>
        <w:t>Dolayısıyl</w:t>
      </w:r>
      <w:r w:rsidR="00DD07C4">
        <w:rPr>
          <w:sz w:val="21"/>
          <w:szCs w:val="21"/>
        </w:rPr>
        <w:t xml:space="preserve">a aynı uzmanlık </w:t>
      </w:r>
      <w:r w:rsidR="001F0768">
        <w:rPr>
          <w:sz w:val="21"/>
          <w:szCs w:val="21"/>
        </w:rPr>
        <w:t xml:space="preserve">ya da yan dal uzmanlık belgesine sahip olmakla birlikte </w:t>
      </w:r>
      <w:proofErr w:type="gramStart"/>
      <w:r w:rsidR="001F0768">
        <w:rPr>
          <w:sz w:val="21"/>
          <w:szCs w:val="21"/>
        </w:rPr>
        <w:t>spesifik</w:t>
      </w:r>
      <w:proofErr w:type="gramEnd"/>
      <w:r w:rsidR="001F0768">
        <w:rPr>
          <w:sz w:val="21"/>
          <w:szCs w:val="21"/>
        </w:rPr>
        <w:t xml:space="preserve"> konularda farklı bilgi</w:t>
      </w:r>
      <w:r w:rsidR="00DD07C4">
        <w:rPr>
          <w:sz w:val="21"/>
          <w:szCs w:val="21"/>
        </w:rPr>
        <w:t xml:space="preserve">, </w:t>
      </w:r>
      <w:r w:rsidR="001F0768">
        <w:rPr>
          <w:sz w:val="21"/>
          <w:szCs w:val="21"/>
        </w:rPr>
        <w:t>beceri</w:t>
      </w:r>
      <w:r w:rsidR="00DD07C4">
        <w:rPr>
          <w:sz w:val="21"/>
          <w:szCs w:val="21"/>
        </w:rPr>
        <w:t xml:space="preserve"> ve</w:t>
      </w:r>
      <w:r w:rsidR="001F0768">
        <w:rPr>
          <w:sz w:val="21"/>
          <w:szCs w:val="21"/>
        </w:rPr>
        <w:t xml:space="preserve"> deneyim birikimine sahip uzmanlar bulunmaktadır.  Bu nede</w:t>
      </w:r>
      <w:r w:rsidR="00DD07C4">
        <w:rPr>
          <w:sz w:val="21"/>
          <w:szCs w:val="21"/>
        </w:rPr>
        <w:t xml:space="preserve">nle </w:t>
      </w:r>
      <w:r w:rsidR="001F0768">
        <w:rPr>
          <w:sz w:val="21"/>
          <w:szCs w:val="21"/>
        </w:rPr>
        <w:t>mahkemelerin ve tarafların dava konusu uyuşmazlıkların gerektirdiği niteliklere sahip uzman bilirkişilere ulaşabilmeleri adaletin gerçekleştirilmesi için büyük önem taşımaktadır. Bu noktada mahkemeler tarafından aşağıdaki ölçütler dikkate alınarak bilirkişiler için alt uzmanlık alanları belirleyebilecekleri bu niteliğe sahip kişileri bilirkişi olarak görevlendirebilecekleri düşünülmektedir.</w:t>
      </w:r>
      <w:r w:rsidR="00DD07C4">
        <w:rPr>
          <w:sz w:val="21"/>
          <w:szCs w:val="21"/>
        </w:rPr>
        <w:t xml:space="preserve"> </w:t>
      </w:r>
      <w:r w:rsidR="00AD135E">
        <w:t>Bunlar:</w:t>
      </w:r>
    </w:p>
    <w:p w:rsidR="00AD135E" w:rsidRDefault="00AD135E" w:rsidP="00AD135E">
      <w:pPr>
        <w:jc w:val="both"/>
      </w:pPr>
    </w:p>
    <w:p w:rsidR="001F0768" w:rsidRDefault="00AD135E" w:rsidP="001F0768">
      <w:pPr>
        <w:pStyle w:val="ListeParagraf"/>
        <w:numPr>
          <w:ilvl w:val="0"/>
          <w:numId w:val="3"/>
        </w:numPr>
        <w:jc w:val="both"/>
      </w:pPr>
      <w:r>
        <w:t>Yan</w:t>
      </w:r>
      <w:r w:rsidR="003D0916">
        <w:t xml:space="preserve"> </w:t>
      </w:r>
      <w:r>
        <w:t>dal ya da uzmanlık ana dal eğitimi ile edinilen bilgi ve beceriler</w:t>
      </w:r>
      <w:r w:rsidR="001F0768">
        <w:t xml:space="preserve">in gerekli olduğu bir uyuşmazlık </w:t>
      </w:r>
      <w:proofErr w:type="gramStart"/>
      <w:r w:rsidR="001F0768">
        <w:t>için  uzmanlık</w:t>
      </w:r>
      <w:proofErr w:type="gramEnd"/>
      <w:r w:rsidR="001F0768">
        <w:t xml:space="preserve"> ya da yan dal uzmanlık eğitimi almadan  </w:t>
      </w:r>
      <w:r>
        <w:t>bir sertifika</w:t>
      </w:r>
      <w:r w:rsidR="001F0768">
        <w:t xml:space="preserve"> ve benzeri belgeye sahip olan hekimler</w:t>
      </w:r>
      <w:r w:rsidR="003D0916">
        <w:t xml:space="preserve"> arasından </w:t>
      </w:r>
      <w:r w:rsidR="001F0768">
        <w:t xml:space="preserve"> bilirkişi </w:t>
      </w:r>
      <w:r w:rsidR="003D0916">
        <w:t xml:space="preserve"> </w:t>
      </w:r>
      <w:r w:rsidR="001F0768">
        <w:t>görevlendirilemez.</w:t>
      </w:r>
    </w:p>
    <w:p w:rsidR="003D0916" w:rsidRDefault="00974076" w:rsidP="003D0916">
      <w:pPr>
        <w:pStyle w:val="ListeParagraf"/>
        <w:numPr>
          <w:ilvl w:val="0"/>
          <w:numId w:val="3"/>
        </w:numPr>
        <w:jc w:val="both"/>
      </w:pPr>
      <w:r>
        <w:lastRenderedPageBreak/>
        <w:t>Dava konusu uyuşmazlıkla ilgili</w:t>
      </w:r>
      <w:r w:rsidR="003D0916">
        <w:t xml:space="preserve"> bilirkişilik yapabilmek için</w:t>
      </w:r>
      <w:r>
        <w:t xml:space="preserve"> o alanda uzmanlık sonrası spesifik mesleki uygulama, bilgi ve beceri gerek</w:t>
      </w:r>
      <w:r w:rsidR="003D0916">
        <w:t xml:space="preserve">sinimi olduğunun düşünülmesi halinde </w:t>
      </w:r>
      <w:r>
        <w:t xml:space="preserve">uzmanlık </w:t>
      </w:r>
      <w:proofErr w:type="gramStart"/>
      <w:r>
        <w:t>veya  yan</w:t>
      </w:r>
      <w:proofErr w:type="gramEnd"/>
      <w:r>
        <w:t xml:space="preserve"> dal uzmanlık belgesinin yanı sıra</w:t>
      </w:r>
      <w:r w:rsidR="003D0916">
        <w:t>;</w:t>
      </w:r>
    </w:p>
    <w:p w:rsidR="003D0916" w:rsidRDefault="003D0916" w:rsidP="003D0916">
      <w:pPr>
        <w:pStyle w:val="ListeParagraf"/>
        <w:numPr>
          <w:ilvl w:val="1"/>
          <w:numId w:val="3"/>
        </w:numPr>
        <w:jc w:val="both"/>
      </w:pPr>
      <w:r>
        <w:t xml:space="preserve">O </w:t>
      </w:r>
      <w:r w:rsidR="00974076">
        <w:t xml:space="preserve">alanda mesleki uygulama yapmış olma, </w:t>
      </w:r>
    </w:p>
    <w:p w:rsidR="003D0916" w:rsidRDefault="003D0916" w:rsidP="003D0916">
      <w:pPr>
        <w:pStyle w:val="ListeParagraf"/>
        <w:numPr>
          <w:ilvl w:val="1"/>
          <w:numId w:val="3"/>
        </w:numPr>
        <w:jc w:val="both"/>
      </w:pPr>
      <w:r>
        <w:t>Y</w:t>
      </w:r>
      <w:r w:rsidR="00974076">
        <w:t xml:space="preserve">urt dışı ya da yurt içinde o konuya özgü ileri eğitim almış olma, </w:t>
      </w:r>
    </w:p>
    <w:p w:rsidR="003D0916" w:rsidRDefault="00974076" w:rsidP="003D0916">
      <w:pPr>
        <w:pStyle w:val="ListeParagraf"/>
        <w:numPr>
          <w:ilvl w:val="1"/>
          <w:numId w:val="3"/>
        </w:numPr>
        <w:jc w:val="both"/>
      </w:pPr>
      <w:proofErr w:type="gramStart"/>
      <w:r>
        <w:t>mesleki</w:t>
      </w:r>
      <w:proofErr w:type="gramEnd"/>
      <w:r>
        <w:t xml:space="preserve"> uygulamalara dayalı bilimsel araştırma, yayın yapmış olma</w:t>
      </w:r>
    </w:p>
    <w:p w:rsidR="00974076" w:rsidRDefault="00974076" w:rsidP="003D0916">
      <w:pPr>
        <w:ind w:firstLine="708"/>
        <w:jc w:val="both"/>
      </w:pPr>
      <w:r>
        <w:t xml:space="preserve"> </w:t>
      </w:r>
      <w:proofErr w:type="gramStart"/>
      <w:r>
        <w:t>koşullarından</w:t>
      </w:r>
      <w:proofErr w:type="gramEnd"/>
      <w:r>
        <w:t xml:space="preserve"> biri ya da birkaçı birlikte aranabilir.</w:t>
      </w:r>
    </w:p>
    <w:p w:rsidR="00AD135E" w:rsidRDefault="00AD135E" w:rsidP="00974076">
      <w:pPr>
        <w:pStyle w:val="ListeParagraf"/>
        <w:numPr>
          <w:ilvl w:val="0"/>
          <w:numId w:val="3"/>
        </w:numPr>
        <w:jc w:val="both"/>
      </w:pPr>
      <w:r>
        <w:t>Birden fazla uzmanlık alanını</w:t>
      </w:r>
      <w:r w:rsidR="00974076">
        <w:t xml:space="preserve"> ya da yan dal alanını ilgilendiren</w:t>
      </w:r>
      <w:r>
        <w:t xml:space="preserve"> </w:t>
      </w:r>
      <w:r w:rsidR="00974076">
        <w:t>konularda her bir alandan en az iki uzmanın bilirkişi heyetinde yer alması sağlanmalıdır.</w:t>
      </w:r>
    </w:p>
    <w:p w:rsidR="00FC6889" w:rsidRDefault="00FC6889"/>
    <w:sectPr w:rsidR="00FC6889" w:rsidSect="000A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643"/>
    <w:multiLevelType w:val="hybridMultilevel"/>
    <w:tmpl w:val="6F3E056A"/>
    <w:lvl w:ilvl="0" w:tplc="041F0001">
      <w:start w:val="1"/>
      <w:numFmt w:val="bullet"/>
      <w:lvlText w:val=""/>
      <w:lvlJc w:val="left"/>
      <w:pPr>
        <w:ind w:left="774" w:hanging="360"/>
      </w:pPr>
      <w:rPr>
        <w:rFonts w:ascii="Symbol" w:hAnsi="Symbol" w:hint="default"/>
      </w:rPr>
    </w:lvl>
    <w:lvl w:ilvl="1" w:tplc="041F0003">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nsid w:val="0A162C80"/>
    <w:multiLevelType w:val="hybridMultilevel"/>
    <w:tmpl w:val="DD42BCD8"/>
    <w:lvl w:ilvl="0" w:tplc="9ACAA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667CD"/>
    <w:multiLevelType w:val="hybridMultilevel"/>
    <w:tmpl w:val="FEE2B5BC"/>
    <w:lvl w:ilvl="0" w:tplc="DC9E4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5E"/>
    <w:rsid w:val="000A2DCF"/>
    <w:rsid w:val="0014284C"/>
    <w:rsid w:val="001871D8"/>
    <w:rsid w:val="001D41FA"/>
    <w:rsid w:val="001F0768"/>
    <w:rsid w:val="003D0916"/>
    <w:rsid w:val="00974076"/>
    <w:rsid w:val="00A27384"/>
    <w:rsid w:val="00AD135E"/>
    <w:rsid w:val="00DD07C4"/>
    <w:rsid w:val="00F253F5"/>
    <w:rsid w:val="00FC6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2017-10-05T10:37:00Z</dcterms:created>
  <dcterms:modified xsi:type="dcterms:W3CDTF">2017-10-05T10:37:00Z</dcterms:modified>
</cp:coreProperties>
</file>